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295" w:rsidRPr="00B603C6" w:rsidRDefault="00911D33" w:rsidP="003D5295">
      <w:pPr>
        <w:spacing w:before="100" w:beforeAutospacing="1" w:after="100" w:afterAutospacing="1" w:line="240" w:lineRule="auto"/>
        <w:outlineLvl w:val="0"/>
        <w:rPr>
          <w:rFonts w:ascii="Times New Roman" w:eastAsia="Times New Roman" w:hAnsi="Times New Roman" w:cs="Times New Roman"/>
          <w:b/>
          <w:bCs/>
          <w:kern w:val="36"/>
          <w:sz w:val="48"/>
          <w:szCs w:val="48"/>
          <w:lang w:eastAsia="lt-LT"/>
        </w:rPr>
      </w:pPr>
      <w:bookmarkStart w:id="0" w:name="_GoBack"/>
      <w:r>
        <w:rPr>
          <w:noProof/>
        </w:rPr>
        <w:drawing>
          <wp:anchor distT="0" distB="0" distL="114300" distR="114300" simplePos="0" relativeHeight="251658240" behindDoc="0" locked="0" layoutInCell="1" allowOverlap="1" wp14:anchorId="175D06A4">
            <wp:simplePos x="0" y="0"/>
            <wp:positionH relativeFrom="margin">
              <wp:align>right</wp:align>
            </wp:positionH>
            <wp:positionV relativeFrom="paragraph">
              <wp:posOffset>-751205</wp:posOffset>
            </wp:positionV>
            <wp:extent cx="1781175" cy="752475"/>
            <wp:effectExtent l="0" t="0" r="9525" b="9525"/>
            <wp:wrapNone/>
            <wp:docPr id="1" name="Paveikslėlis 1" descr="Paveikslėlis, kuriame yra žinutė&#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Paveikslėlis, kuriame yra žinutė&#10;&#10;Automatiškai sugeneruotas aprašym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1175" cy="752475"/>
                    </a:xfrm>
                    <a:prstGeom prst="rect">
                      <a:avLst/>
                    </a:prstGeom>
                    <a:noFill/>
                    <a:ln>
                      <a:noFill/>
                    </a:ln>
                  </pic:spPr>
                </pic:pic>
              </a:graphicData>
            </a:graphic>
          </wp:anchor>
        </w:drawing>
      </w:r>
      <w:bookmarkEnd w:id="0"/>
      <w:r w:rsidR="003D5295" w:rsidRPr="00B603C6">
        <w:rPr>
          <w:rFonts w:ascii="Times New Roman" w:eastAsia="Times New Roman" w:hAnsi="Times New Roman" w:cs="Times New Roman"/>
          <w:b/>
          <w:bCs/>
          <w:kern w:val="36"/>
          <w:sz w:val="48"/>
          <w:szCs w:val="48"/>
          <w:lang w:eastAsia="lt-LT"/>
        </w:rPr>
        <w:t xml:space="preserve">Sidabrinės ekonomikos problema: potencialių vyresnio amžiaus darbuotojų gausu, tačiau dažnam trūksta skaitmeninių įgūdžių </w:t>
      </w:r>
    </w:p>
    <w:p w:rsidR="003D5295" w:rsidRPr="00B603C6" w:rsidRDefault="003D5295" w:rsidP="003D5295">
      <w:pPr>
        <w:spacing w:after="0" w:line="240" w:lineRule="auto"/>
        <w:rPr>
          <w:rFonts w:ascii="Times New Roman" w:eastAsia="Times New Roman" w:hAnsi="Times New Roman" w:cs="Times New Roman"/>
          <w:sz w:val="24"/>
          <w:szCs w:val="24"/>
          <w:lang w:eastAsia="lt-LT"/>
        </w:rPr>
      </w:pPr>
      <w:r w:rsidRPr="00B603C6">
        <w:rPr>
          <w:rFonts w:ascii="Times New Roman" w:eastAsia="Times New Roman" w:hAnsi="Times New Roman" w:cs="Times New Roman"/>
          <w:sz w:val="24"/>
          <w:szCs w:val="24"/>
          <w:lang w:eastAsia="lt-LT"/>
        </w:rPr>
        <w:t> </w:t>
      </w:r>
      <w:hyperlink r:id="rId5" w:history="1">
        <w:r w:rsidRPr="00B603C6">
          <w:rPr>
            <w:rFonts w:ascii="Times New Roman" w:eastAsia="Times New Roman" w:hAnsi="Times New Roman" w:cs="Times New Roman"/>
            <w:color w:val="0000FF"/>
            <w:sz w:val="24"/>
            <w:szCs w:val="24"/>
            <w:u w:val="single"/>
            <w:lang w:eastAsia="lt-LT"/>
          </w:rPr>
          <w:t>(53)</w:t>
        </w:r>
      </w:hyperlink>
      <w:r w:rsidRPr="00B603C6">
        <w:rPr>
          <w:rFonts w:ascii="Times New Roman" w:eastAsia="Times New Roman" w:hAnsi="Times New Roman" w:cs="Times New Roman"/>
          <w:sz w:val="24"/>
          <w:szCs w:val="24"/>
          <w:lang w:eastAsia="lt-LT"/>
        </w:rPr>
        <w:t xml:space="preserve"> </w:t>
      </w:r>
    </w:p>
    <w:p w:rsidR="003D5295" w:rsidRPr="00B603C6" w:rsidRDefault="003D5295" w:rsidP="003D5295">
      <w:pPr>
        <w:spacing w:after="0" w:line="240" w:lineRule="auto"/>
        <w:rPr>
          <w:rFonts w:ascii="Times New Roman" w:eastAsia="Times New Roman" w:hAnsi="Times New Roman" w:cs="Times New Roman"/>
          <w:sz w:val="24"/>
          <w:szCs w:val="24"/>
          <w:lang w:eastAsia="lt-LT"/>
        </w:rPr>
      </w:pPr>
      <w:r w:rsidRPr="00B603C6">
        <w:rPr>
          <w:rFonts w:ascii="Times New Roman" w:eastAsia="Times New Roman" w:hAnsi="Times New Roman" w:cs="Times New Roman"/>
          <w:sz w:val="24"/>
          <w:szCs w:val="24"/>
          <w:lang w:eastAsia="lt-LT"/>
        </w:rPr>
        <w:t>Specialusis projektas „Prisijungusi Lietuva“ / Partnerio turinys</w:t>
      </w:r>
    </w:p>
    <w:p w:rsidR="003D5295" w:rsidRPr="00B603C6" w:rsidRDefault="003D5295" w:rsidP="003D5295">
      <w:pPr>
        <w:spacing w:after="0" w:line="240" w:lineRule="auto"/>
        <w:rPr>
          <w:rFonts w:ascii="Times New Roman" w:eastAsia="Times New Roman" w:hAnsi="Times New Roman" w:cs="Times New Roman"/>
          <w:sz w:val="24"/>
          <w:szCs w:val="24"/>
          <w:lang w:eastAsia="lt-LT"/>
        </w:rPr>
      </w:pPr>
      <w:r w:rsidRPr="00B603C6">
        <w:rPr>
          <w:rFonts w:ascii="Times New Roman" w:eastAsia="Times New Roman" w:hAnsi="Times New Roman" w:cs="Times New Roman"/>
          <w:sz w:val="24"/>
          <w:szCs w:val="24"/>
          <w:lang w:eastAsia="lt-LT"/>
        </w:rPr>
        <w:t>2021 m. liepos 8 d. 14:44</w:t>
      </w:r>
    </w:p>
    <w:p w:rsidR="003D5295" w:rsidRPr="00B603C6" w:rsidRDefault="003D5295" w:rsidP="003D5295">
      <w:pPr>
        <w:spacing w:after="0" w:line="240" w:lineRule="auto"/>
        <w:rPr>
          <w:rFonts w:ascii="Times New Roman" w:eastAsia="Times New Roman" w:hAnsi="Times New Roman" w:cs="Times New Roman"/>
          <w:sz w:val="24"/>
          <w:szCs w:val="24"/>
          <w:lang w:eastAsia="lt-LT"/>
        </w:rPr>
      </w:pPr>
      <w:r w:rsidRPr="00B603C6">
        <w:rPr>
          <w:rFonts w:ascii="Times New Roman" w:eastAsia="Times New Roman" w:hAnsi="Times New Roman" w:cs="Times New Roman"/>
          <w:b/>
          <w:bCs/>
          <w:sz w:val="24"/>
          <w:szCs w:val="24"/>
          <w:lang w:eastAsia="lt-LT"/>
        </w:rPr>
        <w:t>Neretai pastebima, kad perkopus 50-ies metų amžiaus ribą, patenkama į keblią situaciją: darbų pasiūla nemenka, tačiau ar darbo rinkoje pakankamai vietos ir vyresnio amžiaus žmonėms?</w:t>
      </w:r>
      <w:r w:rsidRPr="00B603C6">
        <w:rPr>
          <w:rFonts w:ascii="Times New Roman" w:eastAsia="Times New Roman" w:hAnsi="Times New Roman" w:cs="Times New Roman"/>
          <w:sz w:val="24"/>
          <w:szCs w:val="24"/>
          <w:lang w:eastAsia="lt-LT"/>
        </w:rPr>
        <w:t xml:space="preserve"> </w:t>
      </w:r>
    </w:p>
    <w:p w:rsidR="003D5295" w:rsidRPr="00B603C6" w:rsidRDefault="003D5295" w:rsidP="003D5295">
      <w:pPr>
        <w:spacing w:before="100" w:beforeAutospacing="1" w:after="100" w:afterAutospacing="1" w:line="240" w:lineRule="auto"/>
        <w:rPr>
          <w:rFonts w:ascii="Times New Roman" w:eastAsia="Times New Roman" w:hAnsi="Times New Roman" w:cs="Times New Roman"/>
          <w:sz w:val="24"/>
          <w:szCs w:val="24"/>
          <w:lang w:eastAsia="lt-LT"/>
        </w:rPr>
      </w:pPr>
      <w:r w:rsidRPr="00B603C6">
        <w:rPr>
          <w:rFonts w:ascii="Times New Roman" w:eastAsia="Times New Roman" w:hAnsi="Times New Roman" w:cs="Times New Roman"/>
          <w:b/>
          <w:bCs/>
          <w:sz w:val="24"/>
          <w:szCs w:val="24"/>
          <w:lang w:eastAsia="lt-LT"/>
        </w:rPr>
        <w:t>Metas prisiminti sidabrinę ekonomiką</w:t>
      </w:r>
    </w:p>
    <w:p w:rsidR="003D5295" w:rsidRPr="00B603C6" w:rsidRDefault="003D5295" w:rsidP="003D5295">
      <w:pPr>
        <w:spacing w:before="100" w:beforeAutospacing="1" w:after="100" w:afterAutospacing="1" w:line="240" w:lineRule="auto"/>
        <w:rPr>
          <w:rFonts w:ascii="Times New Roman" w:eastAsia="Times New Roman" w:hAnsi="Times New Roman" w:cs="Times New Roman"/>
          <w:sz w:val="24"/>
          <w:szCs w:val="24"/>
          <w:lang w:eastAsia="lt-LT"/>
        </w:rPr>
      </w:pPr>
      <w:r w:rsidRPr="00B603C6">
        <w:rPr>
          <w:rFonts w:ascii="Times New Roman" w:eastAsia="Times New Roman" w:hAnsi="Times New Roman" w:cs="Times New Roman"/>
          <w:sz w:val="24"/>
          <w:szCs w:val="24"/>
          <w:lang w:eastAsia="lt-LT"/>
        </w:rPr>
        <w:t>Per kelis pastaruosius dešimtmečius vyresnio amžiaus žmonių dalis Lietuvos visuomenėje padvigubėjo, tad klausimai, kaip įveikti senėjančios visuomenės keliamus iššūkius, keliami vis dažniau. Vienas tokių – vyresnio amžiaus žmonių vieta darbo rinkoje.</w:t>
      </w:r>
    </w:p>
    <w:p w:rsidR="003D5295" w:rsidRPr="00B603C6" w:rsidRDefault="003D5295" w:rsidP="003D5295">
      <w:pPr>
        <w:spacing w:before="100" w:beforeAutospacing="1" w:after="100" w:afterAutospacing="1" w:line="240" w:lineRule="auto"/>
        <w:rPr>
          <w:rFonts w:ascii="Times New Roman" w:eastAsia="Times New Roman" w:hAnsi="Times New Roman" w:cs="Times New Roman"/>
          <w:sz w:val="24"/>
          <w:szCs w:val="24"/>
          <w:lang w:eastAsia="lt-LT"/>
        </w:rPr>
      </w:pPr>
      <w:r w:rsidRPr="00B603C6">
        <w:rPr>
          <w:rFonts w:ascii="Times New Roman" w:eastAsia="Times New Roman" w:hAnsi="Times New Roman" w:cs="Times New Roman"/>
          <w:sz w:val="24"/>
          <w:szCs w:val="24"/>
          <w:lang w:eastAsia="lt-LT"/>
        </w:rPr>
        <w:t xml:space="preserve">Specialistai atkreipia dėmesį: Lietuvoje apie vadinamąją sidabrinę ekonomiką kalbama nepakankamai. Vis dar laikomasi požiūrio, esą vyresnio amžiaus žmogus – tai našta, o ne pilnavertis pridėtinės vertės valstybei kūrėjas, tačiau kaip pastebi „Verslo angelų fondų“ vadovaujantis partneris </w:t>
      </w:r>
      <w:hyperlink r:id="rId6" w:tgtFrame="_blank" w:tooltip="Arvydas Strumskis" w:history="1">
        <w:r w:rsidRPr="00B603C6">
          <w:rPr>
            <w:rFonts w:ascii="Times New Roman" w:eastAsia="Times New Roman" w:hAnsi="Times New Roman" w:cs="Times New Roman"/>
            <w:color w:val="0000FF"/>
            <w:sz w:val="24"/>
            <w:szCs w:val="24"/>
            <w:u w:val="single"/>
            <w:lang w:eastAsia="lt-LT"/>
          </w:rPr>
          <w:t>Arvydas Strumskis</w:t>
        </w:r>
      </w:hyperlink>
      <w:r w:rsidRPr="00B603C6">
        <w:rPr>
          <w:rFonts w:ascii="Times New Roman" w:eastAsia="Times New Roman" w:hAnsi="Times New Roman" w:cs="Times New Roman"/>
          <w:sz w:val="24"/>
          <w:szCs w:val="24"/>
          <w:lang w:eastAsia="lt-LT"/>
        </w:rPr>
        <w:t xml:space="preserve"> dabartinės situacijos sidabrinės ekonomikos atžvilgiu nereikėtų vertinti tik iš negatyviosios pusės.</w:t>
      </w:r>
    </w:p>
    <w:p w:rsidR="003D5295" w:rsidRPr="00B603C6" w:rsidRDefault="003D5295" w:rsidP="003D5295">
      <w:pPr>
        <w:spacing w:before="100" w:beforeAutospacing="1" w:after="100" w:afterAutospacing="1" w:line="240" w:lineRule="auto"/>
        <w:rPr>
          <w:rFonts w:ascii="Times New Roman" w:eastAsia="Times New Roman" w:hAnsi="Times New Roman" w:cs="Times New Roman"/>
          <w:sz w:val="24"/>
          <w:szCs w:val="24"/>
          <w:lang w:eastAsia="lt-LT"/>
        </w:rPr>
      </w:pPr>
      <w:r w:rsidRPr="00B603C6">
        <w:rPr>
          <w:rFonts w:ascii="Times New Roman" w:eastAsia="Times New Roman" w:hAnsi="Times New Roman" w:cs="Times New Roman"/>
          <w:sz w:val="24"/>
          <w:szCs w:val="24"/>
          <w:lang w:eastAsia="lt-LT"/>
        </w:rPr>
        <w:t xml:space="preserve"> „Istoriškai susidėliojo taip, kad ilgą laiką mažiau kreipėme dėmesį į vyresnio amžiaus, 50 metų barjerą peržengusius asmenis, tačiau tai galima suprasti – mūsų šalis dar pakankamai jauna. Po antrojo pasaulinio karo, kai Europa pradėjo atsigavinėti, jauni žmonės buvo skatinami vartoti. O vadinamoji sidabrinė kryptis buvo primiršta, prie jos buvo sugrįžta tik vėlesniais metais. Visuomenė pradėjo senti, tad ir sidabrinė ekonomika natūraliai tampa vis aktualesnė“ – pasakoja specialistas.</w:t>
      </w:r>
    </w:p>
    <w:p w:rsidR="003D5295" w:rsidRPr="00B603C6" w:rsidRDefault="003D5295" w:rsidP="003D5295">
      <w:pPr>
        <w:spacing w:before="100" w:beforeAutospacing="1" w:after="100" w:afterAutospacing="1" w:line="240" w:lineRule="auto"/>
        <w:rPr>
          <w:rFonts w:ascii="Times New Roman" w:eastAsia="Times New Roman" w:hAnsi="Times New Roman" w:cs="Times New Roman"/>
          <w:sz w:val="24"/>
          <w:szCs w:val="24"/>
          <w:lang w:eastAsia="lt-LT"/>
        </w:rPr>
      </w:pPr>
      <w:r w:rsidRPr="00B603C6">
        <w:rPr>
          <w:rFonts w:ascii="Times New Roman" w:eastAsia="Times New Roman" w:hAnsi="Times New Roman" w:cs="Times New Roman"/>
          <w:b/>
          <w:bCs/>
          <w:sz w:val="24"/>
          <w:szCs w:val="24"/>
          <w:lang w:eastAsia="lt-LT"/>
        </w:rPr>
        <w:t>Ar darbo rinkoje yra vietos vyresniems žmonėms?</w:t>
      </w:r>
    </w:p>
    <w:p w:rsidR="003D5295" w:rsidRPr="00B603C6" w:rsidRDefault="003D5295" w:rsidP="003D5295">
      <w:pPr>
        <w:spacing w:before="100" w:beforeAutospacing="1" w:after="100" w:afterAutospacing="1" w:line="240" w:lineRule="auto"/>
        <w:rPr>
          <w:rFonts w:ascii="Times New Roman" w:eastAsia="Times New Roman" w:hAnsi="Times New Roman" w:cs="Times New Roman"/>
          <w:sz w:val="24"/>
          <w:szCs w:val="24"/>
          <w:lang w:eastAsia="lt-LT"/>
        </w:rPr>
      </w:pPr>
      <w:r w:rsidRPr="00B603C6">
        <w:rPr>
          <w:rFonts w:ascii="Times New Roman" w:eastAsia="Times New Roman" w:hAnsi="Times New Roman" w:cs="Times New Roman"/>
          <w:sz w:val="24"/>
          <w:szCs w:val="24"/>
          <w:lang w:eastAsia="lt-LT"/>
        </w:rPr>
        <w:t xml:space="preserve">Vyresnių žmonių potencialas darbo rinkoje nėra pakankamai išnaudotas, – pastebi </w:t>
      </w:r>
      <w:hyperlink r:id="rId7" w:tgtFrame="_blank" w:tooltip="Audronė Kisielienė" w:history="1">
        <w:r w:rsidRPr="00B603C6">
          <w:rPr>
            <w:rFonts w:ascii="Times New Roman" w:eastAsia="Times New Roman" w:hAnsi="Times New Roman" w:cs="Times New Roman"/>
            <w:color w:val="0000FF"/>
            <w:sz w:val="24"/>
            <w:szCs w:val="24"/>
            <w:u w:val="single"/>
            <w:lang w:eastAsia="lt-LT"/>
          </w:rPr>
          <w:t>Audronė Kisielienė</w:t>
        </w:r>
      </w:hyperlink>
      <w:r w:rsidRPr="00B603C6">
        <w:rPr>
          <w:rFonts w:ascii="Times New Roman" w:eastAsia="Times New Roman" w:hAnsi="Times New Roman" w:cs="Times New Roman"/>
          <w:sz w:val="24"/>
          <w:szCs w:val="24"/>
          <w:lang w:eastAsia="lt-LT"/>
        </w:rPr>
        <w:t>, Socialinių inovacijų fondo direktorės pavaduotoja. Neretu atveju galima įžvelgti ir diskriminacinio pobūdžio užuominų iš darbdavio pusės: pastarieji turi neigiamų nuostatų, abejoja dėl vyresnio amžiaus žmonių galimybės adaptuotis, nepakankamai įvertina galimą potencialą, sukauptą darbuotojų patirtį.</w:t>
      </w:r>
    </w:p>
    <w:p w:rsidR="003D5295" w:rsidRPr="00B603C6" w:rsidRDefault="003D5295" w:rsidP="003D5295">
      <w:pPr>
        <w:spacing w:before="100" w:beforeAutospacing="1" w:after="100" w:afterAutospacing="1" w:line="240" w:lineRule="auto"/>
        <w:rPr>
          <w:rFonts w:ascii="Times New Roman" w:eastAsia="Times New Roman" w:hAnsi="Times New Roman" w:cs="Times New Roman"/>
          <w:sz w:val="24"/>
          <w:szCs w:val="24"/>
          <w:lang w:eastAsia="lt-LT"/>
        </w:rPr>
      </w:pPr>
      <w:r w:rsidRPr="00B603C6">
        <w:rPr>
          <w:rFonts w:ascii="Times New Roman" w:eastAsia="Times New Roman" w:hAnsi="Times New Roman" w:cs="Times New Roman"/>
          <w:sz w:val="24"/>
          <w:szCs w:val="24"/>
          <w:lang w:eastAsia="lt-LT"/>
        </w:rPr>
        <w:t xml:space="preserve">„Šiuo atveju prieinama ir prie informacinių technologijų, kurias tikrai ne visi vyresnio amžiaus žmonės yra įvaldę. Darbo rinkos poreikiai vystosi ir keičiasi labai sparčiai, tačiau darbuotojai ne visuomet juos pasiveja. Negalima sakyti, kad neigiamas požiūris į vyresnius darbuotojus grindžiamas vien stereotipais, tam yra ir racionalaus pagrindo – tikrai ne </w:t>
      </w:r>
      <w:r w:rsidRPr="00B603C6">
        <w:rPr>
          <w:rFonts w:ascii="Times New Roman" w:eastAsia="Times New Roman" w:hAnsi="Times New Roman" w:cs="Times New Roman"/>
          <w:sz w:val="24"/>
          <w:szCs w:val="24"/>
          <w:lang w:eastAsia="lt-LT"/>
        </w:rPr>
        <w:lastRenderedPageBreak/>
        <w:t>kiekvienas vyresnio amžiaus darbuotojas geba prisitaikyti prie kintančio laikmečio, šiuolaikinių technologijų“ – pastebi specialistė.</w:t>
      </w:r>
    </w:p>
    <w:p w:rsidR="003D5295" w:rsidRPr="00B603C6" w:rsidRDefault="003D5295" w:rsidP="003D5295">
      <w:pPr>
        <w:spacing w:before="100" w:beforeAutospacing="1" w:after="100" w:afterAutospacing="1" w:line="240" w:lineRule="auto"/>
        <w:rPr>
          <w:rFonts w:ascii="Times New Roman" w:eastAsia="Times New Roman" w:hAnsi="Times New Roman" w:cs="Times New Roman"/>
          <w:sz w:val="24"/>
          <w:szCs w:val="24"/>
          <w:lang w:eastAsia="lt-LT"/>
        </w:rPr>
      </w:pPr>
      <w:r w:rsidRPr="00B603C6">
        <w:rPr>
          <w:rFonts w:ascii="Times New Roman" w:eastAsia="Times New Roman" w:hAnsi="Times New Roman" w:cs="Times New Roman"/>
          <w:sz w:val="24"/>
          <w:szCs w:val="24"/>
          <w:lang w:eastAsia="lt-LT"/>
        </w:rPr>
        <w:t>Nuneigti fakto, kad minėtoje amžiaus kategorijoje susirasti darbą sunkiau, negalima. Neretu atveju net ir išsilavinusių, aukštą kvalifikaciją ir naudingos patirties turinčių potencialių vyresnio amžiaus darbuotojų vietą užima jaunesni rinkos dalyviai. Anot A. Strumskio, tai – paskutinių 50-60 metų ekonominės kultūros pasekmė.</w:t>
      </w:r>
    </w:p>
    <w:p w:rsidR="003D5295" w:rsidRPr="00B603C6" w:rsidRDefault="003D5295" w:rsidP="003D5295">
      <w:pPr>
        <w:spacing w:before="100" w:beforeAutospacing="1" w:after="100" w:afterAutospacing="1" w:line="240" w:lineRule="auto"/>
        <w:rPr>
          <w:rFonts w:ascii="Times New Roman" w:eastAsia="Times New Roman" w:hAnsi="Times New Roman" w:cs="Times New Roman"/>
          <w:sz w:val="24"/>
          <w:szCs w:val="24"/>
          <w:lang w:eastAsia="lt-LT"/>
        </w:rPr>
      </w:pPr>
      <w:r w:rsidRPr="00B603C6">
        <w:rPr>
          <w:rFonts w:ascii="Times New Roman" w:eastAsia="Times New Roman" w:hAnsi="Times New Roman" w:cs="Times New Roman"/>
          <w:sz w:val="24"/>
          <w:szCs w:val="24"/>
          <w:lang w:eastAsia="lt-LT"/>
        </w:rPr>
        <w:t>„Didelė dalis vyresnio amžiaus žmonių patys nebesiekia karjeros, nes ją jau turi. Jie nori daryti kažką kitą, tad aš tai matau kaip verslo galimybę. Mūsų fondas yra investavęs į kelis pakankamai jauno mentaliteto, vyresnių žmonių kuriamas įmones. Statistika rodo, kad vyresnių žmonių kuriamos įmonės yra 3-4 kartus efektyvesnės“ – pasakoja A. Strumskis.</w:t>
      </w:r>
    </w:p>
    <w:p w:rsidR="003D5295" w:rsidRPr="00B603C6" w:rsidRDefault="003D5295" w:rsidP="003D5295">
      <w:pPr>
        <w:spacing w:before="100" w:beforeAutospacing="1" w:after="100" w:afterAutospacing="1" w:line="240" w:lineRule="auto"/>
        <w:rPr>
          <w:rFonts w:ascii="Times New Roman" w:eastAsia="Times New Roman" w:hAnsi="Times New Roman" w:cs="Times New Roman"/>
          <w:sz w:val="24"/>
          <w:szCs w:val="24"/>
          <w:lang w:eastAsia="lt-LT"/>
        </w:rPr>
      </w:pPr>
      <w:r w:rsidRPr="00B603C6">
        <w:rPr>
          <w:rFonts w:ascii="Times New Roman" w:eastAsia="Times New Roman" w:hAnsi="Times New Roman" w:cs="Times New Roman"/>
          <w:sz w:val="24"/>
          <w:szCs w:val="24"/>
          <w:lang w:eastAsia="lt-LT"/>
        </w:rPr>
        <w:t>Kalbant apie vyresnio amžiaus darbuotojų konkurenciją su jaunesniais rinkos dalyviais, neretai linksniuojami tariami pastarųjų privalumai – didesnis veržlumas, noras efektyviai ir greitai dirbti, imlumas. Tačiau nepelnytai pamirštami vyresnio amžiaus darbuotojų privalumai.</w:t>
      </w:r>
    </w:p>
    <w:p w:rsidR="003D5295" w:rsidRPr="00B603C6" w:rsidRDefault="003D5295" w:rsidP="003D5295">
      <w:pPr>
        <w:spacing w:before="100" w:beforeAutospacing="1" w:after="100" w:afterAutospacing="1" w:line="240" w:lineRule="auto"/>
        <w:rPr>
          <w:rFonts w:ascii="Times New Roman" w:eastAsia="Times New Roman" w:hAnsi="Times New Roman" w:cs="Times New Roman"/>
          <w:sz w:val="24"/>
          <w:szCs w:val="24"/>
          <w:lang w:eastAsia="lt-LT"/>
        </w:rPr>
      </w:pPr>
      <w:r w:rsidRPr="00B603C6">
        <w:rPr>
          <w:rFonts w:ascii="Times New Roman" w:eastAsia="Times New Roman" w:hAnsi="Times New Roman" w:cs="Times New Roman"/>
          <w:sz w:val="24"/>
          <w:szCs w:val="24"/>
          <w:lang w:eastAsia="lt-LT"/>
        </w:rPr>
        <w:t xml:space="preserve"> „Vyresnio amžiaus žmonių karta – tai posovietinė karta, išgyvenusi didelę bedarbystę. Tais laikais kiekvienas turėjo kabintis į darbą, o tai išugdė ir didžiulį atsakomybės jausmą. Vyresnio amžiaus darbuotojai turi naudingos patirties, tam tikrų jau įgytų įgūdžių. Ypatingai, jei kalbame apie aukštesnės kvalifikacijos darbuotojus, – pastebi A. Kisielienė ir ragina atkreipti dėmesį į sėkmingas kitų šalių patirtis. – Tai, kad vyresnio amžiaus darbuotojo produktyvumas galbūt mažėja, nėra priežastis apskritai atsisakyti tokio darbuotojo. Štai Suomijoje stengiamasi kuo ilgiau išlaikyti žmogaus aktyvumą, įsitraukimą į darbą. Ieškoma visoms pusėms priimtinų sprendimų. Galbūt vyresnio amžiaus žmogus gali dirbti ne pilną darbo dieną, užsiimti mentoryste ir perduoti savo žinias jaunesnei kartai. Norisi palinkėti darbdaviams turėti platesnį požiūrį, atsižvelgti ne tik į savo, bet ir į darbuotojų poreikius“ – sako specialistė.</w:t>
      </w:r>
    </w:p>
    <w:p w:rsidR="003D5295" w:rsidRPr="00B603C6" w:rsidRDefault="003D5295" w:rsidP="003D5295">
      <w:pPr>
        <w:spacing w:before="100" w:beforeAutospacing="1" w:after="100" w:afterAutospacing="1" w:line="240" w:lineRule="auto"/>
        <w:rPr>
          <w:rFonts w:ascii="Times New Roman" w:eastAsia="Times New Roman" w:hAnsi="Times New Roman" w:cs="Times New Roman"/>
          <w:sz w:val="24"/>
          <w:szCs w:val="24"/>
          <w:lang w:eastAsia="lt-LT"/>
        </w:rPr>
      </w:pPr>
      <w:r w:rsidRPr="00B603C6">
        <w:rPr>
          <w:rFonts w:ascii="Times New Roman" w:eastAsia="Times New Roman" w:hAnsi="Times New Roman" w:cs="Times New Roman"/>
          <w:b/>
          <w:bCs/>
          <w:sz w:val="24"/>
          <w:szCs w:val="24"/>
          <w:lang w:eastAsia="lt-LT"/>
        </w:rPr>
        <w:t>Mokymasis turi lydėti visą gyvenimą</w:t>
      </w:r>
    </w:p>
    <w:p w:rsidR="003D5295" w:rsidRPr="00B603C6" w:rsidRDefault="003D5295" w:rsidP="003D5295">
      <w:pPr>
        <w:spacing w:before="100" w:beforeAutospacing="1" w:after="100" w:afterAutospacing="1" w:line="240" w:lineRule="auto"/>
        <w:rPr>
          <w:rFonts w:ascii="Times New Roman" w:eastAsia="Times New Roman" w:hAnsi="Times New Roman" w:cs="Times New Roman"/>
          <w:sz w:val="24"/>
          <w:szCs w:val="24"/>
          <w:lang w:eastAsia="lt-LT"/>
        </w:rPr>
      </w:pPr>
      <w:r w:rsidRPr="00B603C6">
        <w:rPr>
          <w:rFonts w:ascii="Times New Roman" w:eastAsia="Times New Roman" w:hAnsi="Times New Roman" w:cs="Times New Roman"/>
          <w:sz w:val="24"/>
          <w:szCs w:val="24"/>
          <w:lang w:eastAsia="lt-LT"/>
        </w:rPr>
        <w:t>Nuomonė, esą vyresnis amžius nebetinkamas karjeros pokyčiams ar naujoms galimybėms, gajus ne tik darbdavių tarpe, bet ir tarp darbo ieškančių darbuotojų. Pastarieji dažnu atveju nelinkę rizikuoti, ieškoti naujų veiklos galimybių. Nepakankamai investuojama ir į asmeninių įgūdžių tobulinimą, nuolatinį mokymąsi. Kaip pastebi A. Strumskis, mokymasis tai nėra vien mokykla ar universitetas, jis turėtų lydėti mus visą gyvenimą.</w:t>
      </w:r>
    </w:p>
    <w:p w:rsidR="003D5295" w:rsidRPr="00B603C6" w:rsidRDefault="003D5295" w:rsidP="003D5295">
      <w:pPr>
        <w:spacing w:before="100" w:beforeAutospacing="1" w:after="100" w:afterAutospacing="1" w:line="240" w:lineRule="auto"/>
        <w:rPr>
          <w:rFonts w:ascii="Times New Roman" w:eastAsia="Times New Roman" w:hAnsi="Times New Roman" w:cs="Times New Roman"/>
          <w:sz w:val="24"/>
          <w:szCs w:val="24"/>
          <w:lang w:eastAsia="lt-LT"/>
        </w:rPr>
      </w:pPr>
      <w:r w:rsidRPr="00B603C6">
        <w:rPr>
          <w:rFonts w:ascii="Times New Roman" w:eastAsia="Times New Roman" w:hAnsi="Times New Roman" w:cs="Times New Roman"/>
          <w:sz w:val="24"/>
          <w:szCs w:val="24"/>
          <w:lang w:eastAsia="lt-LT"/>
        </w:rPr>
        <w:t>„Iš principo senatvei ruoštis reikėtų jau nuo 18-os metų. Iš kitos pusės – koks sveiko proto aštuoniolikmetis, pradės tam ruoštis, juk tuo metu visi mes „nemirtingi“. Vienintelis mano patarimas – mokytis, tačiau ir tai turime išmokti daryti. Teoriškai dažnai kalbame apie mokymosi visą gyvenimą svarbą, bet kaip tai įgyvendinti, įgūdžių neturime. Iš principo kol kas neturime įgūdžio nuolat atsinaujinti, o tai yra problema, kurią reikia pradėti spręsti dar mokykloje, universitete, – sako A. Strumskis. – Dažnu atveju absolventai išbėga į darbo rinką įsivaizduodami, kad viską jau žino, mokytis jiems nebereikia. Net aukštosios mokyklos neįdiegia to suvokimo, kad po kelerių metų mes prarandame kompetencijas. Juk ir telefonus keičiame kas kelis metus, žinios, technologijos nuolatos atsinaujina. Tai, kas buvo prieš 5 metus – nelikvidu.“</w:t>
      </w:r>
    </w:p>
    <w:p w:rsidR="003D5295" w:rsidRPr="00B603C6" w:rsidRDefault="003D5295" w:rsidP="003D5295">
      <w:pPr>
        <w:spacing w:before="100" w:beforeAutospacing="1" w:after="100" w:afterAutospacing="1" w:line="240" w:lineRule="auto"/>
        <w:rPr>
          <w:rFonts w:ascii="Times New Roman" w:eastAsia="Times New Roman" w:hAnsi="Times New Roman" w:cs="Times New Roman"/>
          <w:sz w:val="24"/>
          <w:szCs w:val="24"/>
          <w:lang w:eastAsia="lt-LT"/>
        </w:rPr>
      </w:pPr>
      <w:r w:rsidRPr="00B603C6">
        <w:rPr>
          <w:rFonts w:ascii="Times New Roman" w:eastAsia="Times New Roman" w:hAnsi="Times New Roman" w:cs="Times New Roman"/>
          <w:b/>
          <w:bCs/>
          <w:sz w:val="24"/>
          <w:szCs w:val="24"/>
          <w:lang w:eastAsia="lt-LT"/>
        </w:rPr>
        <w:lastRenderedPageBreak/>
        <w:t>Nemokami skaitmeninio raštingumo mokymai kiekvienam</w:t>
      </w:r>
    </w:p>
    <w:p w:rsidR="003D5295" w:rsidRPr="00B603C6" w:rsidRDefault="003D5295" w:rsidP="003D5295">
      <w:pPr>
        <w:spacing w:before="100" w:beforeAutospacing="1" w:after="100" w:afterAutospacing="1" w:line="240" w:lineRule="auto"/>
        <w:rPr>
          <w:rFonts w:ascii="Times New Roman" w:eastAsia="Times New Roman" w:hAnsi="Times New Roman" w:cs="Times New Roman"/>
          <w:sz w:val="24"/>
          <w:szCs w:val="24"/>
          <w:lang w:eastAsia="lt-LT"/>
        </w:rPr>
      </w:pPr>
      <w:r w:rsidRPr="00B603C6">
        <w:rPr>
          <w:rFonts w:ascii="Times New Roman" w:eastAsia="Times New Roman" w:hAnsi="Times New Roman" w:cs="Times New Roman"/>
          <w:sz w:val="24"/>
          <w:szCs w:val="24"/>
          <w:lang w:eastAsia="lt-LT"/>
        </w:rPr>
        <w:t>2020 m. atliktas Vyriausybės strateginės analizės centro (</w:t>
      </w:r>
      <w:hyperlink r:id="rId8" w:tgtFrame="_blank" w:tooltip="STRATA" w:history="1">
        <w:r w:rsidRPr="00B603C6">
          <w:rPr>
            <w:rFonts w:ascii="Times New Roman" w:eastAsia="Times New Roman" w:hAnsi="Times New Roman" w:cs="Times New Roman"/>
            <w:color w:val="0000FF"/>
            <w:sz w:val="24"/>
            <w:szCs w:val="24"/>
            <w:u w:val="single"/>
            <w:lang w:eastAsia="lt-LT"/>
          </w:rPr>
          <w:t>STRATA</w:t>
        </w:r>
      </w:hyperlink>
      <w:r w:rsidRPr="00B603C6">
        <w:rPr>
          <w:rFonts w:ascii="Times New Roman" w:eastAsia="Times New Roman" w:hAnsi="Times New Roman" w:cs="Times New Roman"/>
          <w:sz w:val="24"/>
          <w:szCs w:val="24"/>
          <w:lang w:eastAsia="lt-LT"/>
        </w:rPr>
        <w:t>) tyrimas parodė, jog mūsų šalyje mokymosi visą gyvenimą kultūra silpna, o nuolatinis mokymasis kol kas nėra tapęs visuomenės norma. Tokią situaciją keisti siekia įvairios šalyje vykdomos iniciatyvos, pavyzdžiui, nuotoliniu būdu organizuojami nemokami projekto „Prisijungusi Lietuva“ mokymai.</w:t>
      </w:r>
    </w:p>
    <w:p w:rsidR="00970929" w:rsidRDefault="003D5295" w:rsidP="003D5295">
      <w:pPr>
        <w:spacing w:before="100" w:beforeAutospacing="1" w:after="100" w:afterAutospacing="1" w:line="240" w:lineRule="auto"/>
        <w:rPr>
          <w:rFonts w:ascii="Times New Roman" w:eastAsia="Times New Roman" w:hAnsi="Times New Roman" w:cs="Times New Roman"/>
          <w:sz w:val="24"/>
          <w:szCs w:val="24"/>
          <w:lang w:eastAsia="lt-LT"/>
        </w:rPr>
      </w:pPr>
      <w:r w:rsidRPr="00B603C6">
        <w:rPr>
          <w:rFonts w:ascii="Times New Roman" w:eastAsia="Times New Roman" w:hAnsi="Times New Roman" w:cs="Times New Roman"/>
          <w:sz w:val="24"/>
          <w:szCs w:val="24"/>
          <w:lang w:eastAsia="lt-LT"/>
        </w:rPr>
        <w:t>Šalies gyventojai kviečiami mokytis skaitmeninio raštingumo bei gilinti žinias nuotoliniu būdu. Tą padaryti galima dvejopai: pasirinkti iš daugiau kaip 50 savarankiško mokymosi temų arba registruotis į bibliotekose vykstančius skaitmeninio raštingumo mokymus. Iš viso nemokamuose mokymuose dalyvavo daugiau kaip 102 tūkst. įvairaus amžiaus šalies gyventojų.</w:t>
      </w:r>
    </w:p>
    <w:p w:rsidR="003D5295" w:rsidRPr="003D5295" w:rsidRDefault="003D5295" w:rsidP="003D5295">
      <w:pPr>
        <w:spacing w:before="100" w:beforeAutospacing="1" w:after="100" w:afterAutospacing="1" w:line="240" w:lineRule="auto"/>
        <w:rPr>
          <w:rFonts w:ascii="Times New Roman" w:eastAsia="Times New Roman" w:hAnsi="Times New Roman" w:cs="Times New Roman"/>
          <w:sz w:val="24"/>
          <w:szCs w:val="24"/>
          <w:lang w:eastAsia="lt-LT"/>
        </w:rPr>
      </w:pPr>
    </w:p>
    <w:sectPr w:rsidR="003D5295" w:rsidRPr="003D5295" w:rsidSect="00911D33">
      <w:pgSz w:w="11906" w:h="16838"/>
      <w:pgMar w:top="1843"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295"/>
    <w:rsid w:val="003D5295"/>
    <w:rsid w:val="00911D33"/>
    <w:rsid w:val="009709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FB7F3-B854-4479-B78C-8484B576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lfi.lt/temos/strata" TargetMode="External"/><Relationship Id="rId3" Type="http://schemas.openxmlformats.org/officeDocument/2006/relationships/webSettings" Target="webSettings.xml"/><Relationship Id="rId7" Type="http://schemas.openxmlformats.org/officeDocument/2006/relationships/hyperlink" Target="https://www.delfi.lt/temos/audrone-kisielie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lfi.lt/temos/arvydas-strumskis" TargetMode="External"/><Relationship Id="rId5" Type="http://schemas.openxmlformats.org/officeDocument/2006/relationships/hyperlink" Target="https://www.delfi.lt/partnerio-turinys/prisijungusi-lietuva/sidabrines-ekonomikos-problema-potencialiu-vyresnio-amziaus-darbuotoju-gausu-taciau-daznam-truksta-skaitmeniniu-igudziu.d?id=87657401&amp;com=1"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4439</Words>
  <Characters>2531</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Gediminas</dc:creator>
  <cp:keywords/>
  <dc:description/>
  <cp:lastModifiedBy>Andrej Jedik</cp:lastModifiedBy>
  <cp:revision>2</cp:revision>
  <dcterms:created xsi:type="dcterms:W3CDTF">2021-10-02T13:06:00Z</dcterms:created>
  <dcterms:modified xsi:type="dcterms:W3CDTF">2021-10-07T17:27:00Z</dcterms:modified>
</cp:coreProperties>
</file>